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Vallentuna kommunfullmäktige</w:t>
      </w:r>
    </w:p>
    <w:p>
      <w:pPr>
        <w:pStyle w:val="Heading1"/>
      </w:pPr>
      <w:r>
        <w:t xml:space="preserve">Bygga fler hyresrätter för unga i Vallentuna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Vallentuna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drabbar särskilt unga vuxna. Enligt Boverkets bostadsmarknadsenkät 2024 saknas bostäder för personer under 30 år i Vallentuna.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Vallentuna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byggnation av minst 150 hyresrätter för unga i Vallentuna centrum under mandatperioden.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plan- och byggnadsnämnden får i uppdrag att korta handläggningstiderna för bostadsprojekt.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markanvisningar ska innehålla krav på blandade upplåtelseformer.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rapport om bostadsbyggandet lämnas till kommunfullmäktige.</w:t>
      </w:r>
    </w:p>
    <w:p>
      <w:pPr>
        <w:spacing w:before="360"/>
      </w:pPr>
    </w:p>
    <w:p>
      <w:r>
        <w:t xml:space="preserve">Vallentuna,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Vallentuna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2026-07-14T05:34:02.280Z</dcterms:created>
  <dcterms:modified xsi:type="dcterms:W3CDTF">2026-07-14T05:34:02.280Z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